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00000002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00000003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Кімнен ____________________________________</w:t>
      </w:r>
    </w:p>
    <w:p w14:paraId="00000004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00000005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00000006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ӨТІНІШ</w:t>
      </w:r>
    </w:p>
    <w:p w14:paraId="00000007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before="206" w:line="276" w:lineRule="auto"/>
        <w:ind w:firstLine="708"/>
        <w:jc w:val="both"/>
        <w:rPr>
          <w:color w:val="000000"/>
        </w:rPr>
      </w:pPr>
      <w:r>
        <w:rPr>
          <w:color w:val="000000"/>
        </w:rPr>
        <w:t>Бұл хат менің/біздің жазбаша келісімім/келісіміміз болмаған жағдайда менің балам/біздің балаларымыз ешқандай психиатриялық, психологиялық, әлеуметтік қызметтерді, кеңестерді, скринингті немесе тестілерді, профилактикалық медициналық тексерулерді, вакцинаци</w:t>
      </w:r>
      <w:r>
        <w:rPr>
          <w:color w:val="000000"/>
        </w:rPr>
        <w:t xml:space="preserve">яларды </w:t>
      </w:r>
      <w:r>
        <w:rPr>
          <w:i/>
          <w:color w:val="000000"/>
        </w:rPr>
        <w:t>ала алмайтындығы</w:t>
      </w:r>
      <w:r>
        <w:rPr>
          <w:color w:val="000000"/>
        </w:rPr>
        <w:t xml:space="preserve"> туралы хабарлама болып табылады.</w:t>
      </w:r>
    </w:p>
    <w:p w14:paraId="00000008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before="125" w:line="276" w:lineRule="auto"/>
        <w:jc w:val="both"/>
        <w:rPr>
          <w:color w:val="000000"/>
        </w:rPr>
      </w:pPr>
      <w:r>
        <w:rPr>
          <w:color w:val="000000"/>
        </w:rPr>
        <w:t>Мен/біз баламның/балаларымыздың жан күйіне байланысты тікелей мектепте немесе қандай да бір басқа мекемеде өткізілетініне қарамастан барлық әлеуметтік бағдарламалар мен тестілерге қатысуынан ресми түрде бас тартамыз. Мектеп қызметкерлерінің менің баламның/</w:t>
      </w:r>
      <w:r>
        <w:rPr>
          <w:color w:val="000000"/>
        </w:rPr>
        <w:t xml:space="preserve">біздің балаларымыздың жан күйіне қатысты барлық сұрақтары маған/бізге мәлімделуі керек және менің/біздің қалауымызға қалдырылуы керек. Мектеп қызметкерлері жай күйінің денсаулығына байланысты диагностикалау немесе емдеу жүргізу, тексеру, дәрігерге жолдама </w:t>
      </w:r>
      <w:r>
        <w:rPr>
          <w:color w:val="000000"/>
        </w:rPr>
        <w:t>беру немесе кез-келген түрдегі жапсырмаларды іліп қою мәселелерін өз бетінше шеше алмайды. ҚР Конституциясы, «Неке (ерлі-зайыптылық) және отбасы туралы» ҚР Кодексі, «Білім туралы» ҚР Заңы ата-аналарға өз балалары үшін толықтай барлық құқықтар мен жауапкерш</w:t>
      </w:r>
      <w:r>
        <w:rPr>
          <w:color w:val="000000"/>
        </w:rPr>
        <w:t>ілікті жүктейді, бұл осындай тестілеуден бас тартуға құқық береді. Ақпараттық келісім мынадай мәселелерге қатысты болады, бірақ олармен шектелмейді:</w:t>
      </w:r>
    </w:p>
    <w:p w14:paraId="00000009" w14:textId="77777777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line="276" w:lineRule="auto"/>
        <w:ind w:left="420" w:hanging="420"/>
        <w:jc w:val="both"/>
        <w:rPr>
          <w:color w:val="000000"/>
        </w:rPr>
      </w:pPr>
      <w:r>
        <w:rPr>
          <w:color w:val="000000"/>
        </w:rPr>
        <w:t>Жан күйінің денсаулығы мен психикалық денсаулықты қорғау жөніндегі іс-шараларға қатысы бар мектепте өткізіл</w:t>
      </w:r>
      <w:r>
        <w:rPr>
          <w:color w:val="000000"/>
        </w:rPr>
        <w:t>етін кеңестер.</w:t>
      </w:r>
    </w:p>
    <w:p w14:paraId="0000000A" w14:textId="77777777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18"/>
        <w:jc w:val="both"/>
        <w:rPr>
          <w:color w:val="000000"/>
        </w:rPr>
      </w:pPr>
      <w:r>
        <w:rPr>
          <w:color w:val="000000"/>
        </w:rPr>
        <w:t>Мінез-құлықты, жан күйі денсаулығын, депрессиялық немесе суицидтік бейімділікті тексеру, есірткіні заңсыз тұтыну бойынша тестілеу, кез-келген психологиялық тексеру немесе мінез-құлықты тестілеу, сондай-ақ диагностикалық әдістер (жасөспірімде</w:t>
      </w:r>
      <w:r>
        <w:rPr>
          <w:color w:val="000000"/>
        </w:rPr>
        <w:t>р мен балаларға скрининг немесе тестілеу, ашуланшақтық сияқты эмоционалды факторларды бағалау немесе құрдастарымен қарым-қатынасты, жыныстық қатынасты немесе жыныстық көзқарасты бағалау).</w:t>
      </w:r>
    </w:p>
    <w:p w14:paraId="0000000B" w14:textId="77777777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18"/>
        <w:jc w:val="both"/>
        <w:rPr>
          <w:color w:val="000000"/>
        </w:rPr>
      </w:pPr>
      <w:r>
        <w:rPr>
          <w:color w:val="000000"/>
        </w:rPr>
        <w:t>Ашуланшақтықты басқару, өзін-өзі бағалау, жанжалдарды шешу, топтарда</w:t>
      </w:r>
      <w:r>
        <w:rPr>
          <w:color w:val="000000"/>
        </w:rPr>
        <w:t>ғы немесе отбасындағы мінез-құлық туралы кеңес беру курстары.</w:t>
      </w:r>
    </w:p>
    <w:p w14:paraId="0000000C" w14:textId="77777777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18"/>
        <w:jc w:val="both"/>
        <w:rPr>
          <w:color w:val="000000"/>
        </w:rPr>
      </w:pPr>
      <w:r>
        <w:rPr>
          <w:color w:val="000000"/>
        </w:rPr>
        <w:t>Профилактикалық медициналық тексерулер</w:t>
      </w:r>
    </w:p>
    <w:p w14:paraId="0000000D" w14:textId="77777777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18"/>
        <w:jc w:val="both"/>
        <w:rPr>
          <w:color w:val="000000"/>
        </w:rPr>
      </w:pPr>
      <w:r>
        <w:rPr>
          <w:color w:val="000000"/>
        </w:rPr>
        <w:t xml:space="preserve">Вакцинация </w:t>
      </w:r>
    </w:p>
    <w:p w14:paraId="0000000E" w14:textId="77777777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18"/>
        <w:jc w:val="both"/>
        <w:rPr>
          <w:color w:val="000000"/>
        </w:rPr>
      </w:pPr>
      <w:r>
        <w:rPr>
          <w:color w:val="000000"/>
        </w:rPr>
        <w:t xml:space="preserve">Репродуктивті денсаулықты қорғау қызметтері мен құралдарына қол жеткізу, жыныстық ағарту </w:t>
      </w:r>
    </w:p>
    <w:p w14:paraId="0000000F" w14:textId="1AFE8CF9" w:rsidR="00B06260" w:rsidRDefault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18"/>
        <w:jc w:val="both"/>
        <w:rPr>
          <w:color w:val="000000"/>
        </w:rPr>
      </w:pPr>
      <w:r>
        <w:rPr>
          <w:color w:val="000000"/>
        </w:rPr>
        <w:t>Профилактикалық тексерулердің нәтижелері бойынша тере</w:t>
      </w:r>
      <w:r>
        <w:rPr>
          <w:color w:val="000000"/>
        </w:rPr>
        <w:t>ңдетілген медициналық тексеруге жіберу</w:t>
      </w:r>
    </w:p>
    <w:p w14:paraId="3272EA6D" w14:textId="14530942" w:rsidR="0047173D" w:rsidRDefault="0047173D" w:rsidP="00471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39" w:line="276" w:lineRule="auto"/>
        <w:ind w:left="426"/>
        <w:jc w:val="both"/>
        <w:rPr>
          <w:color w:val="000000"/>
        </w:rPr>
      </w:pPr>
      <w:bookmarkStart w:id="0" w:name="_GoBack"/>
      <w:bookmarkEnd w:id="0"/>
      <w:r w:rsidRPr="0047173D">
        <w:rPr>
          <w:color w:val="000000"/>
        </w:rPr>
        <w:t>Психологиялық -педагогикалық қолдау</w:t>
      </w:r>
    </w:p>
    <w:p w14:paraId="00000010" w14:textId="77777777" w:rsidR="00B06260" w:rsidRDefault="00B0626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00000011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Бұл өтініш мектепке шағым болып табылмайды. Керісінше, бұл ата-ана құқықтарын жүзеге асыру, балаларға зиян келтірілетін, онымен қоса олардың құқықтары, қауіпсіздігі мен денсаулығына ешқандай объективті талдауға негізделмеген және ғылыми негізі жоқ жан күйі</w:t>
      </w:r>
      <w:r>
        <w:rPr>
          <w:color w:val="000000"/>
        </w:rPr>
        <w:t xml:space="preserve"> денсаулығын бағалау және диагностикалау арқылы зардап келтіретін бүкіл әлемде болып жатқан оқиғалардан туындаған қажеттілік.</w:t>
      </w:r>
    </w:p>
    <w:p w14:paraId="00000012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Мен берілген мәселені шешуде көмектескеніңіз үшін алдын ала алғыс айтамын. Біздің өзара қорғанысымыз үшін және түсінбеушілікке жол</w:t>
      </w:r>
      <w:r>
        <w:rPr>
          <w:color w:val="000000"/>
        </w:rPr>
        <w:t xml:space="preserve"> бермеу үшін осы хаттың бір данасы менің адвокатыма және/немесе тиісті құқық қорғау ұйымдарына сақтауға жіберілген. Бұл өтініш мен/біз оны жазбаша түрде қайтарып алғанға дейін күшінде қалады және оның әрекет етуі менің балам/біздің баламыз мектепте оқыған </w:t>
      </w:r>
      <w:r>
        <w:rPr>
          <w:color w:val="000000"/>
        </w:rPr>
        <w:t>бүкіл кезеңінде, ол аяқталғанға дейін сақталуы керек.</w:t>
      </w:r>
    </w:p>
    <w:p w14:paraId="00000013" w14:textId="77777777" w:rsidR="00B06260" w:rsidRDefault="00B0626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4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_________________               _____________________________________________________________</w:t>
      </w:r>
    </w:p>
    <w:p w14:paraId="00000015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Күні                                                                                Баланың ата-анасы (-лар</w:t>
      </w:r>
      <w:r>
        <w:rPr>
          <w:color w:val="000000"/>
        </w:rPr>
        <w:t>ы) немесе қамқоршысы (- лары)</w:t>
      </w:r>
    </w:p>
    <w:p w14:paraId="00000016" w14:textId="77777777" w:rsidR="00B06260" w:rsidRDefault="00B0626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7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Көшірмесі: қалалық, аудандық білім бөліміне</w:t>
      </w:r>
    </w:p>
    <w:p w14:paraId="00000018" w14:textId="77777777" w:rsidR="00B06260" w:rsidRDefault="00B0626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9" w14:textId="77777777" w:rsidR="00B06260" w:rsidRDefault="00471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_______________________________Өтінішті қабылдау туралы белгі </w:t>
      </w:r>
    </w:p>
    <w:sectPr w:rsidR="00B06260">
      <w:pgSz w:w="11906" w:h="16838"/>
      <w:pgMar w:top="284" w:right="424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2C3"/>
    <w:multiLevelType w:val="multilevel"/>
    <w:tmpl w:val="4C2CBAEC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60"/>
    <w:rsid w:val="0047173D"/>
    <w:rsid w:val="00B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425A"/>
  <w15:docId w15:val="{C46725EF-7670-42BF-8392-81ECCE4C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2</cp:revision>
  <dcterms:created xsi:type="dcterms:W3CDTF">2021-10-12T12:37:00Z</dcterms:created>
  <dcterms:modified xsi:type="dcterms:W3CDTF">2021-10-12T12:38:00Z</dcterms:modified>
</cp:coreProperties>
</file>